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8de931310d341d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42784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Špansko Oranice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1.762.697,34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1.935.088,82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2.023.228,58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1.904.376,70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30.712,12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16.124,63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4.289,16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26.422,96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za izvještajno razdoblje od I-VI 2026.g. iznose 1.935.088,82 EUR. Najveći udio u ostvarenju prihoda poslovanja su tekuće pomoći proračunskim korisnicima iz proračuna koji im nije nadležan, a iz kojih se financiraju troškovi plaća i ostalih materijalnih prava zaposlenika, sufinancira se prehrana učenika, te nabava udžbenika.Tekuće pomoći proračunskim korisnicima iz proračuna koji im nije nadležan iznose 1.437.957,21 EUR, a kapitalne pomoći iznose 56.878,42 EUR. Tekući prijenosi između proračunskih korisnika istog proračuna temeljem prijenosa EU sredstava odnose se na financiranje školske sheme voća i mlijeka, te iznose 1.812,60 EUR. Ove školske godine sudjelovali smo u programu Školska shema mlijeko. Prihodi za posebne namjene odnose se na prihode ostvarene od  prehrane učenika, sufinanciranja produženog boravka od strane roditelja, prihodi uplaćeni od roditelja za izvanučioničke aktivnosti, za jednodnevnu terensku nastavu, za Školu u prirodi, sufinanciranja prijevoza učenika na izvanučioničku nastavu, ulaznica za predstave i sl. te iznose 69.330,46 EUR. Prihodi od prodaje proizvoda i robe te pruženih usluga su prihodi ostvareni od najma školskog prostora, a iznose 39.167,03 EUR. Prihodi od donacija su bile donacije za troškove putovanja, smještaja i natjecanja učenika na Festivalu matematike u Puli u iznosu od 2.600,00 EUR. Nadležni proračun, osim sredstva za sufinanciranje  prehrane učenika, osigurava sredstva za plaće i ostala materijalna prava djelatnika u produženom boravku, vikendom u sportske dvorane, pomoćnike u nastavi, naknade za prijevoz zaposlenika i zdravstvene preglede prema Temeljnom kolektivnom ugovoru za službenike i namještenike u javnim službama, kao i dio troškova tekućeg i investicijskog održavanja, te ostale materijalne rashode, oni iznose ukupno 327.343,10 EUR.</w:t>
      </w:r>
    </w:p>
    <w:p>
      <w:r>
        <w:t xml:space="preserve">Ukupni rashodi i izdaci za izvještajno razdoblje od I-VI 2026.g. iznose 1.904.376,70 EUR. Ovdje spadaju rashodi za zaposlene, materijalni rashodi, financijski rashodi, ostali rashodi, rashodi za nabavu nefinancijske imovine. </w:t>
      </w:r>
    </w:p>
    <w:p>
      <w:r>
        <w:t xml:space="preserve">Od nefinacijske imovine u iznosu od 4.289,16 EUR nabavili smo računala i računalnu opremu za 2.882,09 EUR, uredski namještaj za 1.085.99 EUR te uređaje,strojeve i opremu za ostale namjene za 321,08 EUR.</w:t>
      </w:r>
    </w:p>
    <w:p>
      <w:r>
        <w:t xml:space="preserve">Višak prihoda i primitika od 26.422,96 EUR se odnosi na vlastita sredstva od najma školskog prostora, te namjenska sredstva koja ćemo utrošiti na podmirenje računa za školsku prehranu, nabavu stolica i stolova za školsku blagavaonu zbog dotrajalosti istih, pripremu dvorišta škole za postavljane stola za šah i stolova za stolni tenis te ostale usluge redovnog održavanja škole.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56.878,42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pomoći proračunskim korisnicima iz proračuna koji im nije nadležan-sredstva iz državnog proračuna za nabavu školskih udžbenika u iznosu od 56.878,42 EUR.</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Tekući prijenosi između proračuna korisnika istog proračuna temeljem prijenosa EU sredstava, ovdje su iskazana sredstva za školsku shemu mlijeka u iznosu od 1.812,60 EUR.</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61.851,79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69.330,46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Ostali nespomenuti prihodi- ovdje spadaju prihodi uplaćeni od roditelja za izvanučioničke aktivnosti, za jednodnevne terenske nastave, za školu u prirodi, sufinanciranje školske prehrane od strane roditelja, sufinanciranje plaća za produženi boravak te ostali prihodi od uplate roditelja.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41.583,96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39.167,03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w:t>
            </w:r>
          </w:p>
        </w:tc>
      </w:tr>
    </w:tbl>
    <w:p>
      <w:pPr>
        <w:spacing w:before="0" w:after="0"/>
      </w:pPr>
    </w:p>
    <w:p>
      <w:r>
        <w:t xml:space="preserve">Ovdje su knjiženi prihodi od pruženih usluga - zakup školskog prostora.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w:t>
            </w:r>
          </w:p>
        </w:tc>
      </w:tr>
    </w:tbl>
    <w:p>
      <w:pPr>
        <w:spacing w:before="0" w:after="0"/>
      </w:pPr>
    </w:p>
    <w:p>
      <w:r>
        <w:t xml:space="preserve">Tekuće donacije- Škola je dobila donaciju za smještaj i prijevoz učenika na matematičkom natjecanju održanom u Puli.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340.828,35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324.343,10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Prihodi iz nadležnog proračuna za financiranje rashoda poslovanja, povećani su prihodi od osnivača za financiranje rashoda poslovanja. Ovdje se knjiže prihodi za plaće djelatnicima PB, Vikendom u sportske dvorane, Pomoćnike u nastavi, E-tehničara, prihodi za materijalne troškove, energiju, sredstva za tekuće i investicijsko održavanje, sufinanciranje školske prehrane.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Doznačena su sredstva za potrebe projekta participativnog buđetiranja učenika u iznosu od 3.000,00 EUR.</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w:t>
            </w:r>
          </w:p>
        </w:tc>
      </w:tr>
    </w:tbl>
    <w:p>
      <w:pPr>
        <w:spacing w:before="0" w:after="0"/>
      </w:pPr>
    </w:p>
    <w:p>
      <w:r>
        <w:t xml:space="preserve">Nabavljen je sitan invetar za potrebe školske kuhinje.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31.292,50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w:t>
            </w:r>
          </w:p>
        </w:tc>
      </w:tr>
    </w:tbl>
    <w:p>
      <w:pPr>
        <w:spacing w:before="0" w:after="0"/>
      </w:pPr>
    </w:p>
    <w:p>
      <w:r>
        <w:t xml:space="preserve">Usluge tekućeg i investicijskog održavanja odnose se na ispitivanje plinske instalacije, pražnjenje mastolovca, servis električne friteze,servis klima uređaja, ispitivanje vodovodne instalacije, poporavak curenja na instalaciji grijanja, servis susatava vatrodojave, servis dizala, servis plinskog plamenika.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731,1</w:t>
            </w:r>
          </w:p>
        </w:tc>
      </w:tr>
    </w:tbl>
    <w:p>
      <w:pPr>
        <w:spacing w:before="0" w:after="0"/>
      </w:pPr>
    </w:p>
    <w:p>
      <w:r>
        <w:t xml:space="preserve">Knjiženi su troškovi najma aparata za kopiranje.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w:t>
            </w:r>
          </w:p>
        </w:tc>
      </w:tr>
    </w:tbl>
    <w:p>
      <w:pPr>
        <w:spacing w:before="0" w:after="0"/>
      </w:pPr>
    </w:p>
    <w:p>
      <w:r>
        <w:t xml:space="preserve">Knjiženi su obvezni sistematski pregledi u iznosu od 11.840,00 EUR, te pregledi osoba koje rade s namirnicama u iznosu od 469,83 EUR.</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bl>
    <w:p>
      <w:pPr>
        <w:spacing w:before="0" w:after="0"/>
      </w:pPr>
    </w:p>
    <w:p>
      <w:r>
        <w:t xml:space="preserve">Nagrada Baltazar za profesore i učenike.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w:t>
            </w:r>
          </w:p>
        </w:tc>
      </w:tr>
    </w:tbl>
    <w:p>
      <w:pPr>
        <w:spacing w:before="0" w:after="0"/>
      </w:pPr>
    </w:p>
    <w:p>
      <w:r>
        <w:t xml:space="preserve">Nabavljeno je novo računalo za školsku knjižnicu, projektori te uredske stolice.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w:t>
            </w:r>
          </w:p>
        </w:tc>
      </w:tr>
    </w:tbl>
    <w:p>
      <w:pPr>
        <w:spacing w:before="0" w:after="0"/>
      </w:pPr>
    </w:p>
    <w:p>
      <w:r>
        <w:t xml:space="preserve">Nabavljena je nova kosilica.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20.608,99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šifra V007 u iznosu od 20.608,99 EUR odnosi se na obveze za materijalne rashode u iznosu od 20.297,06 EUR, u koje spadaju naknada za prijevoz 4,232,30, rashodi za uredski materijal 1.926,25, rashodi za namirnice 5.427,70, rashodi za energiju 3.186,89 EUR. Rashodi za usluge u iznosu od 4.419,24 EUR u koje spadaju usluge telefona,usluge tekućeg i investicijskog održavanja, komunalne usluge, zakupnine i najamnine računalne usluge. Ostali nespomenuti rashodi poslovanja 1.104,68 EUR. </w:t>
      </w:r>
    </w:p>
    <w:p>
      <w:r>
        <w:t xml:space="preserve">Obveze za ostale financijske rashode u iznosu od 311,93 EUR.</w:t>
      </w:r>
    </w:p>
    <w:p>
      <w:r>
        <w:t xml:space="preserve"> </w:t>
      </w:r>
    </w:p>
    <w:p/>
    <w:p>
      <w:pPr>
        <w:jc w:val="center"/>
        <w:pStyle w:val="Normal"/>
        <w:spacing w:line="240" w:lineRule="auto"/>
        <w:keepNext/>
      </w:pPr>
      <w:r>
        <w:rPr>
          <w:sz w:val="28"/>
          <w:rFonts w:ascii="Times New Roman" w:hAnsi="Times New Roman"/>
        </w:rPr>
        <w:t xml:space="preserve">Bilješka 17.</w:t>
      </w:r>
    </w:p>
    <w:p>
      <w:pPr>
        <w:jc w:val="both"/>
        <w:pStyle w:val="Normal"/>
        <w:spacing w:line="240" w:lineRule="auto"/>
      </w:pPr>
      <w:r>
        <w:rPr>
          <w:b/>
          <w:sz w:val="24"/>
          <w:rFonts w:ascii="Times New Roman" w:hAnsi="Times New Roman"/>
        </w:rPr>
        <w:t xml:space="preserve">EU izvještaj</w:t>
      </w:r>
    </w:p>
    <w:p>
      <w:r>
        <w:t xml:space="preserve">Popunjen je EU izvještaj izvor 5.6.5. Ovdje su iskazana sredstva za školsku shemu voća i mlijeka. OŠ Špansko Oranice je ove godine sudjelovala u školskoj shemi mlijeka.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4071ea18f3449bc" /></Relationships>
</file>