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af62358606974854"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42784</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Špansko Oranice</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3.413.713,30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3.624.271,84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3.259.807,15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3.863.081,10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238.809,26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142.928,02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104.760,83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142.928,02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104.760,83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73,3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343.570,09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Ukupni prihodi poslovanja za izvještajno razdoblje od I. - XII. 2025.g. iznose 3.624.271,84 EUR, što je više nego prethodne godine u istom izvještajnom razdoblju kada su iznosili 3.413.713,30 EUR. Najveći udio u ostvarenju prihoda poslovanja su tekuće pomoći proračunskim korisnicima iz proračuna koji im nije nadležan, a iz kojih se financiraju troškovi plaća i ostalih materijalnih prava zaposlenika, sufinancira se prehrana učenika te nabava udžbenika i radnih vježbenica. Tekući prijenosi između proračunskih korisnika istog proračuna temeljem prijenosa EU sredstava odnose se na financiranje školske sheme voća i mlijeka. Ove školske godine sudjelovali smo u programu Školska shema mlijeko. Prihodi za posebne namjene odnose se na prihode ostvarene od prehrane učenika, sufinanciranja produženog boravka od strane roditelja, prihodi uplaćeni od roditelja za izvanučioničke aktivnosti, te jednodnevne izlete, za Školu u prirodi, sufinanciranja prijevoza učenika na izvan učioničku nastavu, ulaznica za predstave, i sl. Prihodi od prodaje proizvoda i robe te pruženih usluga su prihodi ostvareni od najma školskog prostora te program javnih potreba SSGZ. Prihodi od donacija su bile donacije za trošak putovanja i smještaja učenika na Festivalu matematike u Puli, donacija za boje za školsku ogradu.Nadležni proračun, osim sredstva za financiranje prehrane učenika, osigurava sredstva za plaće i ostala materijalna prava djelatnika u produženom boravku, Vikendom u sportske dvorane, pomoćnike u nastavi, naknade za prijevoz zaposlenika i zdravstvene preglede prema Temeljnom kolektivnom ugovoru za službenike i namještenike u javnim službama, kao i dio troškova tekućeg i investicijskog održavanja, te ostale materijalne rashode.</w:t>
      </w:r>
    </w:p>
    <w:p>
      <w:r>
        <w:t xml:space="preserve">Ukupni rashodi i izdaci za izvještajno razdoblje od 1-12.mj.2025.g.iznose 3.863.081,10 EUR, što je više nego prethodne godine u izvještajnom razdoblju kada su iznosili 3.259.807,15 EUR. Ovdje spadaju rashodi za zaposlene,materijalni rashodi, financijski rashodi, ostali rashodi za nabavu nefinancijske imovine.</w:t>
      </w:r>
    </w:p>
    <w:p>
      <w:r>
        <w:t xml:space="preserve">Ukupni rashodi za nabavu nefinancijske imovine  iznose 104.760,83 EUR, a sastoje se od nabave uredske opreme i namještaja u iznosu od 25.263,29 EUR, komunikacijske opreme u iznosu od 968,70 EUR, opreme za održavanje i zaštitu od 1.468,75 EUR, uređaji, strojevi  i oprema za ostale namjene 16.506,36 EUR, knjige u iznosu od 60.553,73 EUR.</w:t>
      </w:r>
    </w:p>
    <w:p>
      <w:r>
        <w:t xml:space="preserve">Manjak prihoda i primitaka u iznosu od  343.570,09 EUR najvećim dijelom odnosi se na knjiženje plaća na trošak, za razliku od prethodne godine, kada se knjižilo na kontinuirane rashode budućih poslovanja. Ovdje također spadaju i nepodmireni računi za nabavu knjiga za učenike koje su sufinancirane od strane Ministarstva znanosti i obrazovanja, za koja čekamo refundaciju te neplaćeni računi za premije osiguranja imovine za koje ćemo refundaciju zaprimiti od Gradskog ureda za obrazovanje, sport i mlade.</w:t>
      </w:r>
    </w:p>
    <w:p>
      <w:r>
        <w:t xml:space="preserv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2.499.222,88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2.648.404,68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106,0</w:t>
            </w:r>
          </w:p>
        </w:tc>
      </w:tr>
    </w:tbl>
    <w:p>
      <w:pPr>
        <w:spacing w:before="0" w:after="0"/>
      </w:pPr>
    </w:p>
    <w:p>
      <w:r>
        <w:t xml:space="preserve">Tekuće pomoći proračunskim korisnicima iz proračuna koji im nije nadležan u odnosu na prošlu godinu, iznosi  povećanje koje smo zaprimili od Ministarstva znanosti i obrazovanja radi povećanja osnovice za plaću, materijalnih prava te sufinanciranja prehrane učenika.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105.015,99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w:t>
            </w:r>
          </w:p>
        </w:tc>
      </w:tr>
    </w:tbl>
    <w:p>
      <w:pPr>
        <w:spacing w:before="0" w:after="0"/>
      </w:pPr>
    </w:p>
    <w:p>
      <w:r>
        <w:t xml:space="preserve">Kapitalne pomoći proračunskim korisnicima iz proračuna koji im nije nadležan-sredstva iz državnog proračuna za nabavu knjiga za lektiru u iznosu od 1.430,00 EUR, koja se vode kao osnovna sredstva.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Tekući prijenosi između proračunskih korisnika istog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137,8</w:t>
            </w:r>
          </w:p>
        </w:tc>
      </w:tr>
    </w:tbl>
    <w:p>
      <w:pPr>
        <w:spacing w:before="0" w:after="0"/>
      </w:pPr>
    </w:p>
    <w:p>
      <w:r>
        <w:t xml:space="preserve">Tekući prijenosi između korisnika istog proračuna - ovdje je iskazan iznos za Medni dan od 452,00 EUR.</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Tekući prijenosi između proračunskih korisnika istog proračuna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3.683,19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4.046,25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109,9</w:t>
            </w:r>
          </w:p>
        </w:tc>
      </w:tr>
    </w:tbl>
    <w:p>
      <w:pPr>
        <w:spacing w:before="0" w:after="0"/>
      </w:pPr>
    </w:p>
    <w:p>
      <w:r>
        <w:t xml:space="preserve">Tekući prijenosi između proračuna korisnika istog proračuna temeljem prijenosa EU sredstava, ovdje su iskazana sredstva za školsku shemu voća i mlijeka u iznosu od 4.046,25 EUR.</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102.182,17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97.514,37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95,4</w:t>
            </w:r>
          </w:p>
        </w:tc>
      </w:tr>
    </w:tbl>
    <w:p>
      <w:pPr>
        <w:spacing w:before="0" w:after="0"/>
      </w:pPr>
    </w:p>
    <w:p>
      <w:r>
        <w:t xml:space="preserve">Ostali nespomenuti prihodi- ovdje spadaju prihodi uplaćeni od roditelja za izvanučioničke aktivnosti, za jednodnevne izlete, za školu u prirodi, sufinanciranje školske prehrane od strane roditelja, sufinanciranje plaća za produženi boravak te ostali prihodi od uplate roditelja.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70.721,17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68.220,78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96,5</w:t>
            </w:r>
          </w:p>
        </w:tc>
      </w:tr>
    </w:tbl>
    <w:p>
      <w:pPr>
        <w:spacing w:before="0" w:after="0"/>
      </w:pPr>
    </w:p>
    <w:p>
      <w:r>
        <w:t xml:space="preserve">Ovdje su knjiženi prihodi od pruženih usluga - zakup školskog prostora, te program javnih potreba. Prihod od zakupa školskog prostora iznosi 48.876,22 EUR, a prihod iz programa javnih potreba SSGZ iznosi 19.344,56 EUR.</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6.087,83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3.074,40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50,5</w:t>
            </w:r>
          </w:p>
        </w:tc>
      </w:tr>
    </w:tbl>
    <w:p>
      <w:pPr>
        <w:spacing w:before="0" w:after="0"/>
      </w:pPr>
    </w:p>
    <w:p>
      <w:r>
        <w:t xml:space="preserve">Tekuće donacije- Škola je dobila donaciju od Infobip zaklade za smještaj učenika na matematičkom natjecanju održanom u Puli od 2.000,00EUR te smo dobili donaciju za boje za školsku ogradu u iznosu od 1.070,69 EUR</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624.873,95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793.396,87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127,0</w:t>
            </w:r>
          </w:p>
        </w:tc>
      </w:tr>
    </w:tbl>
    <w:p>
      <w:pPr>
        <w:spacing w:before="0" w:after="0"/>
      </w:pPr>
    </w:p>
    <w:p>
      <w:r>
        <w:t xml:space="preserve">Prihodi iz nadležnog proračuna za financiranje rashoda poslovanja, povećani su prihodi od osnivača za financiranje rashoda poslovanja. Ovdje se knjiže  prihodi za plaće djelatnicima PB, Vikendom u sportske dvorane, Pomoćnike u nastavi, E-tehničara, prihodi za materijalne troškove, energiju, sredstva za tekuće i investicijsko održavanje, sufinanciranje školske prehrane.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1.597,97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7.532,42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471,4</w:t>
            </w:r>
          </w:p>
        </w:tc>
      </w:tr>
    </w:tbl>
    <w:p>
      <w:pPr>
        <w:spacing w:before="0" w:after="0"/>
      </w:pPr>
    </w:p>
    <w:p>
      <w:r>
        <w:t xml:space="preserve">Prihodi iz nadležnog proračuna za financiranje rashoda za nabavu nefinancijske imovine, ove godine zaprimili smo 1.532,42 EUR za nabavu knjiga za školsku knjižnicu, te 6.000,00 EUR za nabavu plinskog kotla za školsku kuhinju.</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33.999,93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38.020,48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111,8</w:t>
            </w:r>
          </w:p>
        </w:tc>
      </w:tr>
    </w:tbl>
    <w:p>
      <w:pPr>
        <w:spacing w:before="0" w:after="0"/>
      </w:pPr>
    </w:p>
    <w:p>
      <w:r>
        <w:t xml:space="preserve">Uredski materijal i ostali materijalni rashodi- ovdje su knjiženi troškovi uredskog materijala u iznosu od 7.432,13EUR, literatura 6.424,38 EUR, materijal i sredstva za čišćenje i održavanje 7.937,46 EUR, materijal za higijenske potrebe i njegu 7.180,41 EUR, ostali materijal za potrebe redovnog poslovanja 9.046,10EUR.</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229.758,01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253.256,48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110,2</w:t>
            </w:r>
          </w:p>
        </w:tc>
      </w:tr>
    </w:tbl>
    <w:p>
      <w:pPr>
        <w:spacing w:before="0" w:after="0"/>
      </w:pPr>
    </w:p>
    <w:p>
      <w:r>
        <w:t xml:space="preserve">Ovdje su knjiženi troškovi namirnica za prehranu učenika.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8.853,00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14.513,01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163,9</w:t>
            </w:r>
          </w:p>
        </w:tc>
      </w:tr>
    </w:tbl>
    <w:p>
      <w:pPr>
        <w:spacing w:before="0" w:after="0"/>
      </w:pPr>
    </w:p>
    <w:p>
      <w:r>
        <w:t xml:space="preserve">Materijal za tekuće i investicijsko održavanje - najveći dio se odnosi na kupnju pločica te ostalog materijala potrebnog za sanaciju atrija škole. Kupljen je materijal za školske klupe u dvorišu škole, zamjena led rasvjete u školskoj dvorani, zamjena dotrajalih mješalica na umivaonicima.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3.596,25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12.292,55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341,8</w:t>
            </w:r>
          </w:p>
        </w:tc>
      </w:tr>
    </w:tbl>
    <w:p>
      <w:pPr>
        <w:spacing w:before="0" w:after="0"/>
      </w:pPr>
    </w:p>
    <w:p>
      <w:r>
        <w:t xml:space="preserve">Nabavljen je sitan invetar za potrebe školske kuhinje, za uređenje školske terase na drugom katu škole, sitni iventar za potrebe rada domara škole.</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35.003,67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52.334,56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149,5</w:t>
            </w:r>
          </w:p>
        </w:tc>
      </w:tr>
    </w:tbl>
    <w:p>
      <w:pPr>
        <w:spacing w:before="0" w:after="0"/>
      </w:pPr>
    </w:p>
    <w:p>
      <w:r>
        <w:t xml:space="preserve">Usluge tekućeg i investicijskog održavanja - troškovi tekućeg i investicijskog održavanja pod koje spadaju: bojanje prostorija škole, brušenje, bojanje i završno lakiranje ograde i lese, kermaičarski radovi u atriju škole, servis pregradbenih zavjesa u školskoj dvorani, popravak rampe na školskom dvorištu, servis i čišćenje klima uređaja, servis friteze, čišćenje kuhinjskog separatora, pregled vatrogasnih aparata, redovni pregled dizala, servis plinskog plamenika, saniranje podova u školskoj kuhinji, čišćenje mastolovca, montaža rolo sistema u učionicama na drugom katu škole.</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23.100,06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25.263,29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109,4</w:t>
            </w:r>
          </w:p>
        </w:tc>
      </w:tr>
    </w:tbl>
    <w:p>
      <w:pPr>
        <w:spacing w:before="0" w:after="0"/>
      </w:pPr>
    </w:p>
    <w:p>
      <w:r>
        <w:t xml:space="preserve">Od uredske opreme i namještaja nabavili smo nova računala za urede račudovodstva, tajništva, računovodstvenog referenta te za ured edukacijskog rehabilitatora, nove projektore za školske učionice, školske stolice za učenike, stolove i stolice za uređenje prostora predvorja škole.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Komunikacijska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2.437,45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176,4</w:t>
            </w:r>
          </w:p>
        </w:tc>
      </w:tr>
    </w:tbl>
    <w:p>
      <w:pPr>
        <w:spacing w:before="0" w:after="0"/>
      </w:pPr>
    </w:p>
    <w:p>
      <w:r>
        <w:t xml:space="preserve">Komunikacijska oprema- Nabavljeni su novi telefonski prijamnici, te nova 2 službena mobitela.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8.381,55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16.506,36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196,9</w:t>
            </w:r>
          </w:p>
        </w:tc>
      </w:tr>
    </w:tbl>
    <w:p>
      <w:pPr>
        <w:spacing w:before="0" w:after="0"/>
      </w:pPr>
    </w:p>
    <w:p>
      <w:r>
        <w:t xml:space="preserve">Nabavljena je nova perilica za školsku kuhinju, kompresor, rotacijska kosilica, drobilica za otpad, ulazni stol s koritom, plinski kotao.</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94.936,82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izvještajnog razdoblja u iznosu od 94.936,82 EUR, odnosi se na:</w:t>
      </w:r>
    </w:p>
    <w:p>
      <w:r>
        <w:t xml:space="preserve">Obveze za materijalne rashode 37.405,78 EUR (sastoje se od: Naknade troškova zaposlenima u iznosu od 4.060,88 EUR, Rashoda za materijal i energiju od 22.555,20 EUR u koje spadaju uredski materijal i ostali materijalni rashodi, materijal, sirovine i namirnice za školsku kuhinju, energija, materijal i dijelovi za tekuće i investicijsko održavannje,  Rashoda za usluge od 5.265,96 EUR u koje spadaju usluge tefeona,pošte i prijevoza,usluge tekućeg i investicijskog održavanja,komunalne usluge, zakupnine i najamnine, zdravstvene i veterinarske usluge, računalne usluge, Ostalih nespomenutih rashoda poslovanja u iznosu od 5.523,74 EUR u koje spadaju premije osiguranja).</w:t>
      </w:r>
    </w:p>
    <w:p>
      <w:r>
        <w:t xml:space="preserve">Obveze za ostale financijske rashode 250,71 EUR odnose se na obveze za bankarske usluge.</w:t>
      </w:r>
    </w:p>
    <w:p>
      <w:r>
        <w:t xml:space="preserve">Ostale nespomenute obveze iznose 401,95 EUR</w:t>
      </w:r>
    </w:p>
    <w:p>
      <w:r>
        <w:t xml:space="preserve">Obveze za nabavu nefinancijeke imovine u iznosu od 56.878,38 EUR koje se odnose na nabavu udžbenika za učenike.</w:t>
      </w:r>
    </w:p>
    <w:p/>
    <w:p>
      <w:pPr>
        <w:jc w:val="center"/>
        <w:pStyle w:val="Normal"/>
        <w:spacing w:line="240" w:lineRule="auto"/>
        <w:keepNext/>
      </w:pPr>
      <w:r>
        <w:rPr>
          <w:sz w:val="28"/>
          <w:rFonts w:ascii="Times New Roman" w:hAnsi="Times New Roman"/>
        </w:rPr>
        <w:t xml:space="preserve">Bilješka 20.</w:t>
      </w:r>
    </w:p>
    <w:p>
      <w:pPr>
        <w:jc w:val="both"/>
        <w:pStyle w:val="Normal"/>
        <w:spacing w:line="240" w:lineRule="auto"/>
      </w:pPr>
      <w:r>
        <w:rPr>
          <w:b/>
          <w:sz w:val="24"/>
          <w:rFonts w:ascii="Times New Roman" w:hAnsi="Times New Roman"/>
        </w:rPr>
        <w:t xml:space="preserve">EU izvještaj</w:t>
      </w:r>
    </w:p>
    <w:p>
      <w:r>
        <w:t xml:space="preserve">Popunjen je EU izvještaj izvor 5.6.5. Ovdje su iskazana sredstva za školsku shemu voća i mlijeka. OŠ Špansko Oranice je ove godine sudjelovala u školskoj shemi mlijeka.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b759c465171d4080" /></Relationships>
</file>